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2F" w:rsidRPr="002A162F" w:rsidRDefault="002A162F" w:rsidP="002A162F">
      <w:pPr>
        <w:rPr>
          <w:rFonts w:ascii="黑体" w:eastAsia="黑体" w:hAnsi="黑体" w:cs="Times New Roman" w:hint="eastAsia"/>
          <w:sz w:val="32"/>
          <w:szCs w:val="32"/>
        </w:rPr>
      </w:pPr>
      <w:r w:rsidRPr="002A162F">
        <w:rPr>
          <w:rFonts w:ascii="黑体" w:eastAsia="黑体" w:hAnsi="黑体" w:cs="Times New Roman"/>
          <w:sz w:val="32"/>
          <w:szCs w:val="32"/>
        </w:rPr>
        <w:t>附件</w:t>
      </w:r>
      <w:r w:rsidRPr="002A162F">
        <w:rPr>
          <w:rFonts w:ascii="黑体" w:eastAsia="黑体" w:hAnsi="黑体" w:cs="Times New Roman" w:hint="eastAsia"/>
          <w:sz w:val="32"/>
          <w:szCs w:val="32"/>
        </w:rPr>
        <w:t>2</w:t>
      </w:r>
      <w:bookmarkStart w:id="0" w:name="_GoBack"/>
      <w:bookmarkEnd w:id="0"/>
    </w:p>
    <w:p w:rsidR="00DE2F25" w:rsidRDefault="002362FA">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优秀项目经理征求意见采纳表</w:t>
      </w:r>
    </w:p>
    <w:tbl>
      <w:tblPr>
        <w:tblStyle w:val="a5"/>
        <w:tblW w:w="14743" w:type="dxa"/>
        <w:tblInd w:w="-431" w:type="dxa"/>
        <w:tblLook w:val="04A0" w:firstRow="1" w:lastRow="0" w:firstColumn="1" w:lastColumn="0" w:noHBand="0" w:noVBand="1"/>
      </w:tblPr>
      <w:tblGrid>
        <w:gridCol w:w="1277"/>
        <w:gridCol w:w="2268"/>
        <w:gridCol w:w="6492"/>
        <w:gridCol w:w="4706"/>
      </w:tblGrid>
      <w:tr w:rsidR="00DE2F25">
        <w:trPr>
          <w:trHeight w:val="413"/>
        </w:trPr>
        <w:tc>
          <w:tcPr>
            <w:tcW w:w="1277" w:type="dxa"/>
            <w:shd w:val="clear" w:color="auto" w:fill="FFFFFF" w:themeFill="background1"/>
          </w:tcPr>
          <w:p w:rsidR="00DE2F25" w:rsidRDefault="002362FA">
            <w:pPr>
              <w:widowControl/>
              <w:jc w:val="center"/>
              <w:rPr>
                <w:rFonts w:ascii="黑体" w:eastAsia="黑体" w:hAnsi="Times New Roman" w:cs="Times New Roman"/>
                <w:sz w:val="32"/>
                <w:szCs w:val="32"/>
              </w:rPr>
            </w:pPr>
            <w:r>
              <w:rPr>
                <w:rFonts w:ascii="黑体" w:eastAsia="黑体" w:hAnsi="Times New Roman" w:cs="Times New Roman" w:hint="eastAsia"/>
                <w:sz w:val="32"/>
                <w:szCs w:val="32"/>
              </w:rPr>
              <w:t>序号</w:t>
            </w:r>
          </w:p>
        </w:tc>
        <w:tc>
          <w:tcPr>
            <w:tcW w:w="2268" w:type="dxa"/>
            <w:shd w:val="clear" w:color="auto" w:fill="FFFFFF" w:themeFill="background1"/>
          </w:tcPr>
          <w:p w:rsidR="00DE2F25" w:rsidRDefault="002362FA">
            <w:pPr>
              <w:widowControl/>
              <w:jc w:val="center"/>
              <w:rPr>
                <w:rFonts w:ascii="黑体" w:eastAsia="黑体" w:hAnsi="Times New Roman" w:cs="Times New Roman"/>
                <w:sz w:val="32"/>
                <w:szCs w:val="32"/>
              </w:rPr>
            </w:pPr>
            <w:r>
              <w:rPr>
                <w:rFonts w:ascii="黑体" w:eastAsia="黑体" w:hAnsi="Times New Roman" w:cs="Times New Roman" w:hint="eastAsia"/>
                <w:sz w:val="32"/>
                <w:szCs w:val="32"/>
              </w:rPr>
              <w:t>反馈单位</w:t>
            </w:r>
          </w:p>
        </w:tc>
        <w:tc>
          <w:tcPr>
            <w:tcW w:w="6492" w:type="dxa"/>
            <w:shd w:val="clear" w:color="auto" w:fill="FFFFFF" w:themeFill="background1"/>
          </w:tcPr>
          <w:p w:rsidR="00DE2F25" w:rsidRDefault="002362FA">
            <w:pPr>
              <w:widowControl/>
              <w:tabs>
                <w:tab w:val="left" w:pos="1688"/>
                <w:tab w:val="center" w:pos="3138"/>
              </w:tabs>
              <w:jc w:val="left"/>
              <w:rPr>
                <w:rFonts w:ascii="黑体" w:eastAsia="黑体" w:hAnsi="Times New Roman" w:cs="Times New Roman"/>
                <w:sz w:val="32"/>
                <w:szCs w:val="32"/>
              </w:rPr>
            </w:pPr>
            <w:r>
              <w:rPr>
                <w:rFonts w:ascii="黑体" w:eastAsia="黑体" w:hAnsi="Times New Roman" w:cs="Times New Roman"/>
                <w:sz w:val="32"/>
                <w:szCs w:val="32"/>
              </w:rPr>
              <w:tab/>
            </w:r>
            <w:r>
              <w:rPr>
                <w:rFonts w:ascii="黑体" w:eastAsia="黑体" w:hAnsi="Times New Roman" w:cs="Times New Roman"/>
                <w:sz w:val="32"/>
                <w:szCs w:val="32"/>
              </w:rPr>
              <w:tab/>
            </w:r>
            <w:r>
              <w:rPr>
                <w:rFonts w:ascii="黑体" w:eastAsia="黑体" w:hAnsi="Times New Roman" w:cs="Times New Roman" w:hint="eastAsia"/>
                <w:sz w:val="32"/>
                <w:szCs w:val="32"/>
              </w:rPr>
              <w:t>意见及建议</w:t>
            </w:r>
          </w:p>
        </w:tc>
        <w:tc>
          <w:tcPr>
            <w:tcW w:w="4706" w:type="dxa"/>
            <w:shd w:val="clear" w:color="auto" w:fill="FFFFFF" w:themeFill="background1"/>
          </w:tcPr>
          <w:p w:rsidR="00DE2F25" w:rsidRDefault="002362FA">
            <w:pPr>
              <w:widowControl/>
              <w:jc w:val="center"/>
              <w:rPr>
                <w:rFonts w:ascii="黑体" w:eastAsia="黑体" w:hAnsi="Times New Roman" w:cs="Times New Roman"/>
                <w:sz w:val="32"/>
                <w:szCs w:val="32"/>
              </w:rPr>
            </w:pPr>
            <w:r>
              <w:rPr>
                <w:rFonts w:ascii="黑体" w:eastAsia="黑体" w:hAnsi="Times New Roman" w:cs="Times New Roman" w:hint="eastAsia"/>
                <w:sz w:val="32"/>
                <w:szCs w:val="32"/>
              </w:rPr>
              <w:t>采纳情况</w:t>
            </w:r>
          </w:p>
        </w:tc>
      </w:tr>
      <w:tr w:rsidR="00DE2F25">
        <w:trPr>
          <w:trHeight w:val="1480"/>
        </w:trPr>
        <w:tc>
          <w:tcPr>
            <w:tcW w:w="1277" w:type="dxa"/>
            <w:vMerge w:val="restart"/>
            <w:shd w:val="clear" w:color="auto" w:fill="FFFFFF" w:themeFill="background1"/>
            <w:vAlign w:val="center"/>
          </w:tcPr>
          <w:p w:rsidR="00DE2F25" w:rsidRDefault="002362FA">
            <w:pPr>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w:t>
            </w:r>
          </w:p>
        </w:tc>
        <w:tc>
          <w:tcPr>
            <w:tcW w:w="2268" w:type="dxa"/>
            <w:vMerge w:val="restart"/>
            <w:shd w:val="clear" w:color="auto" w:fill="FFFFFF" w:themeFill="background1"/>
            <w:vAlign w:val="center"/>
          </w:tcPr>
          <w:p w:rsidR="00DE2F25" w:rsidRDefault="002362FA">
            <w:pPr>
              <w:widowControl/>
              <w:jc w:val="center"/>
              <w:rPr>
                <w:rFonts w:ascii="Times New Roman" w:eastAsia="黑体" w:hAnsi="Times New Roman" w:cs="Times New Roman"/>
                <w:sz w:val="31"/>
                <w:szCs w:val="31"/>
              </w:rPr>
            </w:pPr>
            <w:r>
              <w:rPr>
                <w:rFonts w:ascii="Times New Roman" w:eastAsia="黑体" w:hAnsi="Times New Roman" w:cs="Times New Roman" w:hint="eastAsia"/>
                <w:sz w:val="31"/>
                <w:szCs w:val="31"/>
              </w:rPr>
              <w:t>市住房和城乡建设局</w:t>
            </w:r>
          </w:p>
        </w:tc>
        <w:tc>
          <w:tcPr>
            <w:tcW w:w="6492" w:type="dxa"/>
            <w:shd w:val="clear" w:color="auto" w:fill="FFFFFF" w:themeFill="background1"/>
            <w:vAlign w:val="center"/>
          </w:tcPr>
          <w:p w:rsidR="00DE2F25" w:rsidRDefault="002362FA">
            <w:pPr>
              <w:widowControl/>
              <w:jc w:val="left"/>
              <w:rPr>
                <w:rFonts w:ascii="仿宋_GB2312" w:eastAsia="仿宋_GB2312" w:hAnsi="仿宋" w:cs="仿宋"/>
                <w:sz w:val="24"/>
                <w:szCs w:val="24"/>
              </w:rPr>
            </w:pPr>
            <w:r w:rsidRPr="002362FA">
              <w:rPr>
                <w:rFonts w:ascii="Times New Roman" w:eastAsia="仿宋" w:hAnsi="Times New Roman" w:cs="Times New Roman"/>
                <w:sz w:val="24"/>
                <w:szCs w:val="24"/>
              </w:rPr>
              <w:t>1</w:t>
            </w:r>
            <w:r>
              <w:rPr>
                <w:rFonts w:ascii="仿宋" w:eastAsia="仿宋" w:hAnsi="仿宋" w:cs="仿宋"/>
                <w:sz w:val="24"/>
                <w:szCs w:val="24"/>
              </w:rPr>
              <w:t xml:space="preserve">. </w:t>
            </w:r>
            <w:r>
              <w:rPr>
                <w:rFonts w:ascii="仿宋_GB2312" w:eastAsia="仿宋_GB2312" w:hAnsi="仿宋" w:cs="仿宋" w:hint="eastAsia"/>
                <w:sz w:val="24"/>
                <w:szCs w:val="24"/>
              </w:rPr>
              <w:t>建议将第六条第（四）款“未被水乡管委会</w:t>
            </w:r>
            <w:proofErr w:type="gramStart"/>
            <w:r>
              <w:rPr>
                <w:rFonts w:ascii="仿宋_GB2312" w:eastAsia="仿宋_GB2312" w:hAnsi="仿宋" w:cs="仿宋" w:hint="eastAsia"/>
                <w:sz w:val="24"/>
                <w:szCs w:val="24"/>
              </w:rPr>
              <w:t>作出</w:t>
            </w:r>
            <w:proofErr w:type="gramEnd"/>
            <w:r>
              <w:rPr>
                <w:rFonts w:ascii="仿宋_GB2312" w:eastAsia="仿宋_GB2312" w:hAnsi="仿宋" w:cs="仿宋" w:hint="eastAsia"/>
                <w:sz w:val="24"/>
                <w:szCs w:val="24"/>
              </w:rPr>
              <w:t>拒绝参与投标的不良行为记录”改为“申报当日前x年内，存在被行政监管部门</w:t>
            </w:r>
            <w:proofErr w:type="gramStart"/>
            <w:r>
              <w:rPr>
                <w:rFonts w:ascii="仿宋_GB2312" w:eastAsia="仿宋_GB2312" w:hAnsi="仿宋" w:cs="仿宋" w:hint="eastAsia"/>
                <w:sz w:val="24"/>
                <w:szCs w:val="24"/>
              </w:rPr>
              <w:t>作出</w:t>
            </w:r>
            <w:proofErr w:type="gramEnd"/>
            <w:r>
              <w:rPr>
                <w:rFonts w:ascii="仿宋_GB2312" w:eastAsia="仿宋_GB2312" w:hAnsi="仿宋" w:cs="仿宋" w:hint="eastAsia"/>
                <w:sz w:val="24"/>
                <w:szCs w:val="24"/>
              </w:rPr>
              <w:t>行政处罚或行政处理等不良记录的”；</w:t>
            </w:r>
          </w:p>
        </w:tc>
        <w:tc>
          <w:tcPr>
            <w:tcW w:w="4706" w:type="dxa"/>
            <w:shd w:val="clear" w:color="auto" w:fill="FFFFFF" w:themeFill="background1"/>
            <w:vAlign w:val="center"/>
          </w:tcPr>
          <w:p w:rsidR="00DE2F25" w:rsidRDefault="002362FA">
            <w:pPr>
              <w:widowControl/>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采纳。</w:t>
            </w:r>
          </w:p>
        </w:tc>
      </w:tr>
      <w:tr w:rsidR="00DE2F25">
        <w:trPr>
          <w:trHeight w:val="1480"/>
        </w:trPr>
        <w:tc>
          <w:tcPr>
            <w:tcW w:w="1277" w:type="dxa"/>
            <w:vMerge/>
            <w:shd w:val="clear" w:color="auto" w:fill="FFFFFF" w:themeFill="background1"/>
            <w:vAlign w:val="center"/>
          </w:tcPr>
          <w:p w:rsidR="00DE2F25" w:rsidRDefault="00DE2F25">
            <w:pPr>
              <w:jc w:val="center"/>
              <w:rPr>
                <w:rFonts w:ascii="Times New Roman" w:eastAsia="楷体_GB2312" w:hAnsi="Times New Roman" w:cs="Times New Roman"/>
                <w:sz w:val="24"/>
                <w:szCs w:val="24"/>
              </w:rPr>
            </w:pPr>
          </w:p>
        </w:tc>
        <w:tc>
          <w:tcPr>
            <w:tcW w:w="2268" w:type="dxa"/>
            <w:vMerge/>
            <w:shd w:val="clear" w:color="auto" w:fill="FFFFFF" w:themeFill="background1"/>
            <w:vAlign w:val="center"/>
          </w:tcPr>
          <w:p w:rsidR="00DE2F25" w:rsidRDefault="00DE2F25">
            <w:pPr>
              <w:widowControl/>
              <w:jc w:val="center"/>
              <w:rPr>
                <w:rFonts w:ascii="Times New Roman" w:eastAsia="黑体" w:hAnsi="Times New Roman" w:cs="Times New Roman"/>
                <w:sz w:val="31"/>
                <w:szCs w:val="31"/>
              </w:rPr>
            </w:pPr>
          </w:p>
        </w:tc>
        <w:tc>
          <w:tcPr>
            <w:tcW w:w="6492" w:type="dxa"/>
            <w:shd w:val="clear" w:color="auto" w:fill="FFFFFF" w:themeFill="background1"/>
            <w:vAlign w:val="center"/>
          </w:tcPr>
          <w:p w:rsidR="00DE2F25" w:rsidRDefault="002362FA">
            <w:pPr>
              <w:widowControl/>
              <w:jc w:val="left"/>
              <w:rPr>
                <w:rFonts w:ascii="仿宋_GB2312" w:eastAsia="仿宋_GB2312" w:hAnsi="仿宋" w:cs="仿宋"/>
                <w:sz w:val="24"/>
                <w:szCs w:val="24"/>
              </w:rPr>
            </w:pPr>
            <w:r w:rsidRPr="002362FA">
              <w:rPr>
                <w:rFonts w:ascii="Times New Roman" w:eastAsia="仿宋_GB2312" w:hAnsi="Times New Roman" w:cs="Times New Roman"/>
                <w:sz w:val="24"/>
                <w:szCs w:val="24"/>
              </w:rPr>
              <w:t>2</w:t>
            </w:r>
            <w:r>
              <w:rPr>
                <w:rFonts w:ascii="仿宋_GB2312" w:eastAsia="仿宋_GB2312" w:hAnsi="仿宋" w:cs="仿宋"/>
                <w:sz w:val="24"/>
                <w:szCs w:val="24"/>
              </w:rPr>
              <w:t xml:space="preserve">. </w:t>
            </w:r>
            <w:r>
              <w:rPr>
                <w:rFonts w:ascii="仿宋_GB2312" w:eastAsia="仿宋_GB2312" w:hAnsi="仿宋" w:cs="仿宋" w:hint="eastAsia"/>
                <w:sz w:val="24"/>
                <w:szCs w:val="24"/>
              </w:rPr>
              <w:t>建议将第七条第（二）款“被水乡管委会</w:t>
            </w:r>
            <w:proofErr w:type="gramStart"/>
            <w:r>
              <w:rPr>
                <w:rFonts w:ascii="仿宋_GB2312" w:eastAsia="仿宋_GB2312" w:hAnsi="仿宋" w:cs="仿宋" w:hint="eastAsia"/>
                <w:sz w:val="24"/>
                <w:szCs w:val="24"/>
              </w:rPr>
              <w:t>作出</w:t>
            </w:r>
            <w:proofErr w:type="gramEnd"/>
            <w:r>
              <w:rPr>
                <w:rFonts w:ascii="仿宋_GB2312" w:eastAsia="仿宋_GB2312" w:hAnsi="仿宋" w:cs="仿宋" w:hint="eastAsia"/>
                <w:sz w:val="24"/>
                <w:szCs w:val="24"/>
              </w:rPr>
              <w:t>拒绝参与投标的”改为“被依法依规</w:t>
            </w:r>
            <w:proofErr w:type="gramStart"/>
            <w:r>
              <w:rPr>
                <w:rFonts w:ascii="仿宋_GB2312" w:eastAsia="仿宋_GB2312" w:hAnsi="仿宋" w:cs="仿宋" w:hint="eastAsia"/>
                <w:sz w:val="24"/>
                <w:szCs w:val="24"/>
              </w:rPr>
              <w:t>作出</w:t>
            </w:r>
            <w:proofErr w:type="gramEnd"/>
            <w:r>
              <w:rPr>
                <w:rFonts w:ascii="仿宋_GB2312" w:eastAsia="仿宋_GB2312" w:hAnsi="仿宋" w:cs="仿宋" w:hint="eastAsia"/>
                <w:sz w:val="24"/>
                <w:szCs w:val="24"/>
              </w:rPr>
              <w:t>行政处罚或行政处理的”。</w:t>
            </w:r>
          </w:p>
        </w:tc>
        <w:tc>
          <w:tcPr>
            <w:tcW w:w="4706" w:type="dxa"/>
            <w:shd w:val="clear" w:color="auto" w:fill="FFFFFF" w:themeFill="background1"/>
            <w:vAlign w:val="center"/>
          </w:tcPr>
          <w:p w:rsidR="00DE2F25" w:rsidRDefault="002362FA">
            <w:pPr>
              <w:widowControl/>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采纳。</w:t>
            </w:r>
          </w:p>
        </w:tc>
      </w:tr>
      <w:tr w:rsidR="00DE2F25">
        <w:trPr>
          <w:trHeight w:val="1480"/>
        </w:trPr>
        <w:tc>
          <w:tcPr>
            <w:tcW w:w="1277" w:type="dxa"/>
            <w:vMerge w:val="restart"/>
            <w:shd w:val="clear" w:color="auto" w:fill="FFFFFF" w:themeFill="background1"/>
            <w:vAlign w:val="center"/>
          </w:tcPr>
          <w:p w:rsidR="00DE2F25" w:rsidRDefault="002362FA">
            <w:pPr>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p>
        </w:tc>
        <w:tc>
          <w:tcPr>
            <w:tcW w:w="2268" w:type="dxa"/>
            <w:vMerge w:val="restart"/>
            <w:shd w:val="clear" w:color="auto" w:fill="FFFFFF" w:themeFill="background1"/>
            <w:vAlign w:val="center"/>
          </w:tcPr>
          <w:p w:rsidR="00DE2F25" w:rsidRDefault="002362FA">
            <w:pPr>
              <w:widowControl/>
              <w:jc w:val="center"/>
              <w:rPr>
                <w:rFonts w:ascii="Times New Roman" w:eastAsia="黑体" w:hAnsi="Times New Roman" w:cs="Times New Roman"/>
                <w:sz w:val="31"/>
                <w:szCs w:val="31"/>
              </w:rPr>
            </w:pPr>
            <w:r>
              <w:rPr>
                <w:rFonts w:ascii="Times New Roman" w:eastAsia="黑体" w:hAnsi="Times New Roman" w:cs="Times New Roman" w:hint="eastAsia"/>
                <w:sz w:val="32"/>
                <w:szCs w:val="32"/>
              </w:rPr>
              <w:t>市建筑业协会</w:t>
            </w:r>
          </w:p>
        </w:tc>
        <w:tc>
          <w:tcPr>
            <w:tcW w:w="6492" w:type="dxa"/>
            <w:shd w:val="clear" w:color="auto" w:fill="FFFFFF" w:themeFill="background1"/>
            <w:vAlign w:val="center"/>
          </w:tcPr>
          <w:p w:rsidR="00DE2F25" w:rsidRDefault="002362FA">
            <w:pPr>
              <w:widowControl/>
              <w:jc w:val="left"/>
              <w:rPr>
                <w:rFonts w:ascii="仿宋_GB2312" w:eastAsia="仿宋_GB2312" w:hAnsi="仿宋" w:cs="仿宋"/>
                <w:sz w:val="24"/>
                <w:szCs w:val="24"/>
              </w:rPr>
            </w:pPr>
            <w:r w:rsidRPr="002362FA">
              <w:rPr>
                <w:rFonts w:ascii="Times New Roman" w:eastAsia="仿宋_GB2312" w:hAnsi="Times New Roman" w:cs="Times New Roman"/>
                <w:sz w:val="24"/>
                <w:szCs w:val="24"/>
              </w:rPr>
              <w:t>1</w:t>
            </w:r>
            <w:r>
              <w:rPr>
                <w:rFonts w:ascii="仿宋_GB2312" w:eastAsia="仿宋_GB2312" w:hAnsi="仿宋" w:cs="仿宋"/>
                <w:sz w:val="24"/>
                <w:szCs w:val="24"/>
              </w:rPr>
              <w:t xml:space="preserve">. </w:t>
            </w:r>
            <w:r>
              <w:rPr>
                <w:rFonts w:ascii="仿宋_GB2312" w:eastAsia="仿宋_GB2312" w:hAnsi="仿宋" w:cs="仿宋" w:hint="eastAsia"/>
                <w:sz w:val="24"/>
                <w:szCs w:val="24"/>
              </w:rPr>
              <w:t>关于《办法》第二章认可条件中的“（二）国家优质工程奖（含金质奖）”，因金质奖已涵盖在国家优质工程奖中，是国优的最高奖项，建议不用括号备注特别说明；</w:t>
            </w:r>
          </w:p>
        </w:tc>
        <w:tc>
          <w:tcPr>
            <w:tcW w:w="4706" w:type="dxa"/>
            <w:shd w:val="clear" w:color="auto" w:fill="FFFFFF" w:themeFill="background1"/>
            <w:vAlign w:val="center"/>
          </w:tcPr>
          <w:p w:rsidR="00DE2F25" w:rsidRDefault="002362FA">
            <w:pPr>
              <w:widowControl/>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采纳。</w:t>
            </w:r>
          </w:p>
        </w:tc>
      </w:tr>
      <w:tr w:rsidR="00DE2F25">
        <w:trPr>
          <w:trHeight w:val="1480"/>
        </w:trPr>
        <w:tc>
          <w:tcPr>
            <w:tcW w:w="1277" w:type="dxa"/>
            <w:vMerge/>
            <w:shd w:val="clear" w:color="auto" w:fill="FFFFFF" w:themeFill="background1"/>
            <w:vAlign w:val="center"/>
          </w:tcPr>
          <w:p w:rsidR="00DE2F25" w:rsidRDefault="00DE2F25">
            <w:pPr>
              <w:jc w:val="center"/>
              <w:rPr>
                <w:rFonts w:ascii="Times New Roman" w:eastAsia="楷体_GB2312" w:hAnsi="Times New Roman" w:cs="Times New Roman"/>
                <w:sz w:val="24"/>
                <w:szCs w:val="24"/>
              </w:rPr>
            </w:pPr>
          </w:p>
        </w:tc>
        <w:tc>
          <w:tcPr>
            <w:tcW w:w="2268" w:type="dxa"/>
            <w:vMerge/>
            <w:shd w:val="clear" w:color="auto" w:fill="FFFFFF" w:themeFill="background1"/>
            <w:vAlign w:val="center"/>
          </w:tcPr>
          <w:p w:rsidR="00DE2F25" w:rsidRDefault="00DE2F25">
            <w:pPr>
              <w:widowControl/>
              <w:jc w:val="center"/>
              <w:rPr>
                <w:rFonts w:ascii="Times New Roman" w:eastAsia="黑体" w:hAnsi="Times New Roman" w:cs="Times New Roman"/>
                <w:sz w:val="31"/>
                <w:szCs w:val="31"/>
              </w:rPr>
            </w:pPr>
          </w:p>
        </w:tc>
        <w:tc>
          <w:tcPr>
            <w:tcW w:w="6492" w:type="dxa"/>
            <w:shd w:val="clear" w:color="auto" w:fill="FFFFFF" w:themeFill="background1"/>
            <w:vAlign w:val="center"/>
          </w:tcPr>
          <w:p w:rsidR="00DE2F25" w:rsidRDefault="002362FA">
            <w:pPr>
              <w:widowControl/>
              <w:jc w:val="left"/>
              <w:rPr>
                <w:rFonts w:ascii="仿宋_GB2312" w:eastAsia="仿宋_GB2312" w:hAnsi="仿宋" w:cs="仿宋"/>
                <w:sz w:val="24"/>
                <w:szCs w:val="24"/>
              </w:rPr>
            </w:pPr>
            <w:r w:rsidRPr="002362FA">
              <w:rPr>
                <w:rFonts w:ascii="Times New Roman" w:eastAsia="仿宋_GB2312" w:hAnsi="Times New Roman" w:cs="Times New Roman"/>
                <w:sz w:val="24"/>
                <w:szCs w:val="24"/>
              </w:rPr>
              <w:t>2</w:t>
            </w:r>
            <w:r>
              <w:rPr>
                <w:rFonts w:ascii="仿宋_GB2312" w:eastAsia="仿宋_GB2312" w:hAnsi="仿宋" w:cs="仿宋"/>
                <w:sz w:val="24"/>
                <w:szCs w:val="24"/>
              </w:rPr>
              <w:t xml:space="preserve">. </w:t>
            </w:r>
            <w:r>
              <w:rPr>
                <w:rFonts w:ascii="仿宋_GB2312" w:eastAsia="仿宋_GB2312" w:hAnsi="仿宋" w:cs="仿宋" w:hint="eastAsia"/>
                <w:sz w:val="24"/>
                <w:szCs w:val="24"/>
              </w:rPr>
              <w:t>“广东省优质工程奖和广东省安全生产文明施工示范工地”名称不完整，应改为“广东省建设工程优质奖和广东省房屋市政工程安全生产文明施工示范工地”；市政的两个奖项“广东省市政优良样板工程和广东省市政工程安全生产文明施工示范工地”是否也考虑在此范围内。</w:t>
            </w:r>
          </w:p>
        </w:tc>
        <w:tc>
          <w:tcPr>
            <w:tcW w:w="4706" w:type="dxa"/>
            <w:shd w:val="clear" w:color="auto" w:fill="FFFFFF" w:themeFill="background1"/>
            <w:vAlign w:val="center"/>
          </w:tcPr>
          <w:p w:rsidR="00DE2F25" w:rsidRDefault="002362FA">
            <w:pPr>
              <w:widowControl/>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采纳。</w:t>
            </w:r>
          </w:p>
        </w:tc>
      </w:tr>
      <w:tr w:rsidR="00DE2F25">
        <w:trPr>
          <w:trHeight w:val="1480"/>
        </w:trPr>
        <w:tc>
          <w:tcPr>
            <w:tcW w:w="1277" w:type="dxa"/>
            <w:shd w:val="clear" w:color="auto" w:fill="FFFFFF" w:themeFill="background1"/>
            <w:vAlign w:val="center"/>
          </w:tcPr>
          <w:p w:rsidR="00DE2F25" w:rsidRDefault="002362FA">
            <w:pPr>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lastRenderedPageBreak/>
              <w:t>3</w:t>
            </w:r>
          </w:p>
        </w:tc>
        <w:tc>
          <w:tcPr>
            <w:tcW w:w="2268" w:type="dxa"/>
            <w:shd w:val="clear" w:color="auto" w:fill="FFFFFF" w:themeFill="background1"/>
            <w:vAlign w:val="center"/>
          </w:tcPr>
          <w:p w:rsidR="00DE2F25" w:rsidRDefault="002362FA">
            <w:pPr>
              <w:widowControl/>
              <w:jc w:val="center"/>
              <w:rPr>
                <w:rFonts w:ascii="Times New Roman" w:eastAsia="黑体" w:hAnsi="Times New Roman" w:cs="Times New Roman"/>
                <w:sz w:val="31"/>
                <w:szCs w:val="31"/>
              </w:rPr>
            </w:pPr>
            <w:r>
              <w:rPr>
                <w:rFonts w:ascii="Times New Roman" w:eastAsia="黑体" w:hAnsi="Times New Roman" w:cs="Times New Roman" w:hint="eastAsia"/>
                <w:sz w:val="31"/>
                <w:szCs w:val="31"/>
              </w:rPr>
              <w:t>中铁五局集团有限公司</w:t>
            </w:r>
          </w:p>
        </w:tc>
        <w:tc>
          <w:tcPr>
            <w:tcW w:w="6492" w:type="dxa"/>
            <w:shd w:val="clear" w:color="auto" w:fill="FFFFFF" w:themeFill="background1"/>
            <w:vAlign w:val="center"/>
          </w:tcPr>
          <w:p w:rsidR="00DE2F25" w:rsidRDefault="002362FA" w:rsidP="002362FA">
            <w:pPr>
              <w:widowControl/>
              <w:jc w:val="left"/>
              <w:rPr>
                <w:rFonts w:ascii="仿宋_GB2312" w:eastAsia="仿宋_GB2312" w:hAnsi="仿宋" w:cs="仿宋"/>
                <w:sz w:val="24"/>
                <w:szCs w:val="24"/>
              </w:rPr>
            </w:pPr>
            <w:r>
              <w:rPr>
                <w:rFonts w:ascii="仿宋_GB2312" w:eastAsia="仿宋_GB2312" w:hAnsi="仿宋" w:cs="仿宋" w:hint="eastAsia"/>
                <w:sz w:val="24"/>
                <w:szCs w:val="24"/>
              </w:rPr>
              <w:t>建议在第二章认可条件中</w:t>
            </w:r>
            <w:proofErr w:type="gramStart"/>
            <w:r>
              <w:rPr>
                <w:rFonts w:ascii="仿宋_GB2312" w:eastAsia="仿宋_GB2312" w:hAnsi="仿宋" w:cs="仿宋" w:hint="eastAsia"/>
                <w:sz w:val="24"/>
                <w:szCs w:val="24"/>
              </w:rPr>
              <w:t>增加曾</w:t>
            </w:r>
            <w:proofErr w:type="gramEnd"/>
            <w:r>
              <w:rPr>
                <w:rFonts w:ascii="仿宋_GB2312" w:eastAsia="仿宋_GB2312" w:hAnsi="仿宋" w:cs="仿宋" w:hint="eastAsia"/>
                <w:sz w:val="24"/>
                <w:szCs w:val="24"/>
              </w:rPr>
              <w:t>获评“省级优秀项目经理”称号（评定机构包括企业注册地行政主管部门或省级行业协会）和交通运输部公路交通优质工程奖（李春奖）。理由：</w:t>
            </w:r>
            <w:r w:rsidRPr="002362FA">
              <w:rPr>
                <w:rFonts w:ascii="Times New Roman" w:eastAsia="仿宋_GB2312" w:hAnsi="Times New Roman" w:cs="Times New Roman"/>
                <w:sz w:val="24"/>
                <w:szCs w:val="24"/>
              </w:rPr>
              <w:t>1</w:t>
            </w:r>
            <w:r>
              <w:rPr>
                <w:rFonts w:ascii="仿宋_GB2312" w:eastAsia="仿宋_GB2312" w:hAnsi="仿宋" w:cs="仿宋"/>
                <w:sz w:val="24"/>
                <w:szCs w:val="24"/>
              </w:rPr>
              <w:t xml:space="preserve">. </w:t>
            </w:r>
            <w:r>
              <w:rPr>
                <w:rFonts w:ascii="仿宋_GB2312" w:eastAsia="仿宋_GB2312" w:hAnsi="仿宋" w:cs="仿宋" w:hint="eastAsia"/>
                <w:sz w:val="24"/>
                <w:szCs w:val="24"/>
              </w:rPr>
              <w:t>房建类项目的项目经理获得国家级称号较多，但对于市政、公路、水利类项目的项目经理获得国家级称号较少，建议增加省级获奖称号；</w:t>
            </w:r>
            <w:r w:rsidRPr="002362FA">
              <w:rPr>
                <w:rFonts w:ascii="Times New Roman" w:eastAsia="仿宋_GB2312" w:hAnsi="Times New Roman" w:cs="Times New Roman"/>
                <w:sz w:val="24"/>
                <w:szCs w:val="24"/>
              </w:rPr>
              <w:t>2</w:t>
            </w:r>
            <w:r>
              <w:rPr>
                <w:rFonts w:ascii="仿宋_GB2312" w:eastAsia="仿宋_GB2312" w:hAnsi="仿宋" w:cs="仿宋"/>
                <w:sz w:val="24"/>
                <w:szCs w:val="24"/>
              </w:rPr>
              <w:t xml:space="preserve">. </w:t>
            </w:r>
            <w:r>
              <w:rPr>
                <w:rFonts w:ascii="仿宋_GB2312" w:eastAsia="仿宋_GB2312" w:hAnsi="仿宋" w:cs="仿宋" w:hint="eastAsia"/>
                <w:sz w:val="24"/>
                <w:szCs w:val="24"/>
              </w:rPr>
              <w:t>考虑到一级建造师有多个专业的情况下，增加交通系统国家级获奖称号。</w:t>
            </w:r>
          </w:p>
        </w:tc>
        <w:tc>
          <w:tcPr>
            <w:tcW w:w="4706" w:type="dxa"/>
            <w:shd w:val="clear" w:color="auto" w:fill="FFFFFF" w:themeFill="background1"/>
            <w:vAlign w:val="center"/>
          </w:tcPr>
          <w:p w:rsidR="00DE2F25" w:rsidRDefault="002362FA">
            <w:pPr>
              <w:widowControl/>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部分采纳。已增加</w:t>
            </w:r>
            <w:r>
              <w:rPr>
                <w:rFonts w:ascii="仿宋_GB2312" w:eastAsia="仿宋_GB2312" w:hAnsi="仿宋" w:cs="仿宋" w:hint="eastAsia"/>
                <w:sz w:val="24"/>
                <w:szCs w:val="24"/>
              </w:rPr>
              <w:t>交通运输部公路交通优质工程奖（李春奖），但考虑到“省级优秀项目经理”称号数量偏多，且各省评选条件不一，不利于规范认可，暂不增加“省级优秀项目经理”。</w:t>
            </w:r>
          </w:p>
        </w:tc>
      </w:tr>
      <w:tr w:rsidR="00DE2F25">
        <w:trPr>
          <w:trHeight w:val="1480"/>
        </w:trPr>
        <w:tc>
          <w:tcPr>
            <w:tcW w:w="1277" w:type="dxa"/>
            <w:vMerge w:val="restart"/>
            <w:shd w:val="clear" w:color="auto" w:fill="FFFFFF" w:themeFill="background1"/>
            <w:vAlign w:val="center"/>
          </w:tcPr>
          <w:p w:rsidR="00DE2F25" w:rsidRDefault="002362FA">
            <w:pPr>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4</w:t>
            </w:r>
          </w:p>
        </w:tc>
        <w:tc>
          <w:tcPr>
            <w:tcW w:w="2268" w:type="dxa"/>
            <w:vMerge w:val="restart"/>
            <w:shd w:val="clear" w:color="auto" w:fill="FFFFFF" w:themeFill="background1"/>
            <w:vAlign w:val="center"/>
          </w:tcPr>
          <w:p w:rsidR="00DE2F25" w:rsidRDefault="002362FA">
            <w:pPr>
              <w:widowControl/>
              <w:jc w:val="center"/>
              <w:rPr>
                <w:rFonts w:ascii="Times New Roman" w:eastAsia="黑体" w:hAnsi="Times New Roman" w:cs="Times New Roman"/>
                <w:sz w:val="31"/>
                <w:szCs w:val="31"/>
              </w:rPr>
            </w:pPr>
            <w:r>
              <w:rPr>
                <w:rFonts w:ascii="Times New Roman" w:eastAsia="黑体" w:hAnsi="Times New Roman" w:cs="Times New Roman" w:hint="eastAsia"/>
                <w:sz w:val="31"/>
                <w:szCs w:val="31"/>
              </w:rPr>
              <w:t>中国建筑一局（集团）有限公司</w:t>
            </w:r>
          </w:p>
        </w:tc>
        <w:tc>
          <w:tcPr>
            <w:tcW w:w="6492" w:type="dxa"/>
            <w:shd w:val="clear" w:color="auto" w:fill="FFFFFF" w:themeFill="background1"/>
            <w:vAlign w:val="center"/>
          </w:tcPr>
          <w:p w:rsidR="00DE2F25" w:rsidRDefault="002362FA">
            <w:pPr>
              <w:widowControl/>
              <w:jc w:val="left"/>
              <w:rPr>
                <w:rFonts w:ascii="仿宋_GB2312" w:eastAsia="仿宋_GB2312" w:hAnsi="仿宋" w:cs="仿宋"/>
                <w:sz w:val="24"/>
                <w:szCs w:val="24"/>
              </w:rPr>
            </w:pPr>
            <w:r>
              <w:rPr>
                <w:rFonts w:ascii="仿宋_GB2312" w:eastAsia="仿宋_GB2312" w:hAnsi="仿宋" w:cs="仿宋"/>
                <w:sz w:val="24"/>
                <w:szCs w:val="24"/>
              </w:rPr>
              <w:t xml:space="preserve">1. </w:t>
            </w:r>
            <w:r>
              <w:rPr>
                <w:rFonts w:ascii="仿宋_GB2312" w:eastAsia="仿宋_GB2312" w:hAnsi="仿宋" w:cs="仿宋" w:hint="eastAsia"/>
                <w:sz w:val="24"/>
                <w:szCs w:val="24"/>
              </w:rPr>
              <w:t>该地区优秀项目经理评选条件与国家评选条件类似，限制了企业其他优秀项目经理的入围，是否考虑增加优秀项目经理评选条件，扩大评选范围。</w:t>
            </w:r>
          </w:p>
        </w:tc>
        <w:tc>
          <w:tcPr>
            <w:tcW w:w="4706" w:type="dxa"/>
            <w:shd w:val="clear" w:color="auto" w:fill="FFFFFF" w:themeFill="background1"/>
            <w:vAlign w:val="center"/>
          </w:tcPr>
          <w:p w:rsidR="00DE2F25" w:rsidRDefault="002362FA">
            <w:pPr>
              <w:widowControl/>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采纳。</w:t>
            </w:r>
            <w:proofErr w:type="gramStart"/>
            <w:r>
              <w:rPr>
                <w:rFonts w:ascii="仿宋_GB2312" w:eastAsia="仿宋_GB2312" w:hAnsi="Times New Roman" w:cs="Times New Roman" w:hint="eastAsia"/>
                <w:sz w:val="24"/>
                <w:szCs w:val="24"/>
              </w:rPr>
              <w:t>已适当</w:t>
            </w:r>
            <w:proofErr w:type="gramEnd"/>
            <w:r>
              <w:rPr>
                <w:rFonts w:ascii="仿宋_GB2312" w:eastAsia="仿宋_GB2312" w:hAnsi="Times New Roman" w:cs="Times New Roman" w:hint="eastAsia"/>
                <w:sz w:val="24"/>
                <w:szCs w:val="24"/>
              </w:rPr>
              <w:t>将评选范围扩大至水乡功能区范围内同时获得广东省建设工程优质奖和广东省房屋市政工程安全生产文明施工示范工地的项目经理</w:t>
            </w:r>
          </w:p>
        </w:tc>
      </w:tr>
      <w:tr w:rsidR="00DE2F25">
        <w:trPr>
          <w:trHeight w:val="1402"/>
        </w:trPr>
        <w:tc>
          <w:tcPr>
            <w:tcW w:w="1277" w:type="dxa"/>
            <w:vMerge/>
            <w:shd w:val="clear" w:color="auto" w:fill="FFFFFF" w:themeFill="background1"/>
            <w:vAlign w:val="center"/>
          </w:tcPr>
          <w:p w:rsidR="00DE2F25" w:rsidRDefault="00DE2F25">
            <w:pPr>
              <w:jc w:val="center"/>
              <w:rPr>
                <w:rFonts w:ascii="Times New Roman" w:eastAsia="楷体_GB2312" w:hAnsi="Times New Roman" w:cs="Times New Roman"/>
                <w:sz w:val="24"/>
                <w:szCs w:val="24"/>
              </w:rPr>
            </w:pPr>
          </w:p>
        </w:tc>
        <w:tc>
          <w:tcPr>
            <w:tcW w:w="2268" w:type="dxa"/>
            <w:vMerge/>
            <w:shd w:val="clear" w:color="auto" w:fill="FFFFFF" w:themeFill="background1"/>
            <w:vAlign w:val="center"/>
          </w:tcPr>
          <w:p w:rsidR="00DE2F25" w:rsidRDefault="00DE2F25">
            <w:pPr>
              <w:widowControl/>
              <w:jc w:val="center"/>
              <w:rPr>
                <w:rFonts w:ascii="Times New Roman" w:eastAsia="黑体" w:hAnsi="Times New Roman" w:cs="Times New Roman"/>
                <w:sz w:val="31"/>
                <w:szCs w:val="31"/>
              </w:rPr>
            </w:pPr>
          </w:p>
        </w:tc>
        <w:tc>
          <w:tcPr>
            <w:tcW w:w="6492" w:type="dxa"/>
            <w:shd w:val="clear" w:color="auto" w:fill="FFFFFF" w:themeFill="background1"/>
            <w:vAlign w:val="center"/>
          </w:tcPr>
          <w:p w:rsidR="00DE2F25" w:rsidRDefault="002362FA">
            <w:pPr>
              <w:widowControl/>
              <w:jc w:val="left"/>
              <w:rPr>
                <w:rFonts w:ascii="仿宋_GB2312" w:eastAsia="仿宋_GB2312" w:hAnsi="仿宋" w:cs="仿宋"/>
                <w:sz w:val="24"/>
                <w:szCs w:val="24"/>
              </w:rPr>
            </w:pPr>
            <w:r w:rsidRPr="002362FA">
              <w:rPr>
                <w:rFonts w:ascii="Times New Roman" w:eastAsia="仿宋_GB2312" w:hAnsi="Times New Roman" w:cs="Times New Roman"/>
                <w:sz w:val="24"/>
                <w:szCs w:val="24"/>
              </w:rPr>
              <w:t>2</w:t>
            </w:r>
            <w:r>
              <w:rPr>
                <w:rFonts w:ascii="仿宋_GB2312" w:eastAsia="仿宋_GB2312" w:hAnsi="仿宋" w:cs="仿宋"/>
                <w:sz w:val="24"/>
                <w:szCs w:val="24"/>
              </w:rPr>
              <w:t xml:space="preserve">. </w:t>
            </w:r>
            <w:r>
              <w:rPr>
                <w:rFonts w:ascii="仿宋_GB2312" w:eastAsia="仿宋_GB2312" w:hAnsi="仿宋" w:cs="仿宋" w:hint="eastAsia"/>
                <w:sz w:val="24"/>
                <w:szCs w:val="24"/>
              </w:rPr>
              <w:t>有关优秀项目经理评定是否需要给出额定的数量，激励优秀项目经理的评选活动。</w:t>
            </w:r>
          </w:p>
        </w:tc>
        <w:tc>
          <w:tcPr>
            <w:tcW w:w="4706" w:type="dxa"/>
            <w:shd w:val="clear" w:color="auto" w:fill="FFFFFF" w:themeFill="background1"/>
            <w:vAlign w:val="center"/>
          </w:tcPr>
          <w:p w:rsidR="00DE2F25" w:rsidRDefault="002362FA">
            <w:pPr>
              <w:widowControl/>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不采纳。本办法中旨在识别和引入优秀项目经理参与水乡建设，限定优秀项目经理数量不利于引入大量的优秀项目经理参与水乡建设。</w:t>
            </w:r>
          </w:p>
        </w:tc>
      </w:tr>
      <w:tr w:rsidR="00DE2F25">
        <w:trPr>
          <w:trHeight w:val="2117"/>
        </w:trPr>
        <w:tc>
          <w:tcPr>
            <w:tcW w:w="1277" w:type="dxa"/>
            <w:vMerge/>
            <w:shd w:val="clear" w:color="auto" w:fill="FFFFFF" w:themeFill="background1"/>
            <w:vAlign w:val="center"/>
          </w:tcPr>
          <w:p w:rsidR="00DE2F25" w:rsidRDefault="00DE2F25">
            <w:pPr>
              <w:jc w:val="center"/>
              <w:rPr>
                <w:rFonts w:ascii="Times New Roman" w:eastAsia="楷体_GB2312" w:hAnsi="Times New Roman" w:cs="Times New Roman"/>
                <w:sz w:val="24"/>
                <w:szCs w:val="24"/>
              </w:rPr>
            </w:pPr>
          </w:p>
        </w:tc>
        <w:tc>
          <w:tcPr>
            <w:tcW w:w="2268" w:type="dxa"/>
            <w:vMerge/>
            <w:shd w:val="clear" w:color="auto" w:fill="FFFFFF" w:themeFill="background1"/>
            <w:vAlign w:val="center"/>
          </w:tcPr>
          <w:p w:rsidR="00DE2F25" w:rsidRDefault="00DE2F25">
            <w:pPr>
              <w:widowControl/>
              <w:jc w:val="center"/>
              <w:rPr>
                <w:rFonts w:ascii="Times New Roman" w:eastAsia="黑体" w:hAnsi="Times New Roman" w:cs="Times New Roman"/>
                <w:sz w:val="31"/>
                <w:szCs w:val="31"/>
              </w:rPr>
            </w:pPr>
          </w:p>
        </w:tc>
        <w:tc>
          <w:tcPr>
            <w:tcW w:w="6492" w:type="dxa"/>
            <w:shd w:val="clear" w:color="auto" w:fill="FFFFFF" w:themeFill="background1"/>
            <w:vAlign w:val="center"/>
          </w:tcPr>
          <w:p w:rsidR="00DE2F25" w:rsidRDefault="002362FA">
            <w:pPr>
              <w:widowControl/>
              <w:jc w:val="left"/>
              <w:rPr>
                <w:rFonts w:ascii="仿宋_GB2312" w:eastAsia="仿宋_GB2312" w:hAnsi="仿宋" w:cs="仿宋"/>
                <w:sz w:val="24"/>
                <w:szCs w:val="24"/>
              </w:rPr>
            </w:pPr>
            <w:r w:rsidRPr="002362FA">
              <w:rPr>
                <w:rFonts w:ascii="Times New Roman" w:eastAsia="仿宋_GB2312" w:hAnsi="Times New Roman" w:cs="Times New Roman"/>
                <w:sz w:val="24"/>
                <w:szCs w:val="24"/>
              </w:rPr>
              <w:t>3</w:t>
            </w:r>
            <w:r>
              <w:rPr>
                <w:rFonts w:ascii="仿宋_GB2312" w:eastAsia="仿宋_GB2312" w:hAnsi="仿宋" w:cs="仿宋"/>
                <w:sz w:val="24"/>
                <w:szCs w:val="24"/>
              </w:rPr>
              <w:t xml:space="preserve">. </w:t>
            </w:r>
            <w:r>
              <w:rPr>
                <w:rFonts w:ascii="仿宋_GB2312" w:eastAsia="仿宋_GB2312" w:hAnsi="仿宋" w:cs="仿宋" w:hint="eastAsia"/>
                <w:sz w:val="24"/>
                <w:szCs w:val="24"/>
              </w:rPr>
              <w:t>优秀项目经理评选范围是否从多方面评比，参考项目履约、安全生产管理、科技创新管理、绿色施工管理以及履约项目承办各方活动和知名度考核等，考究优秀项目经理综合管理。</w:t>
            </w:r>
          </w:p>
        </w:tc>
        <w:tc>
          <w:tcPr>
            <w:tcW w:w="4706" w:type="dxa"/>
            <w:shd w:val="clear" w:color="auto" w:fill="FFFFFF" w:themeFill="background1"/>
            <w:vAlign w:val="center"/>
          </w:tcPr>
          <w:p w:rsidR="00DE2F25" w:rsidRDefault="002362FA">
            <w:pPr>
              <w:widowControl/>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部分采纳。现认可条件中的奖项已考虑</w:t>
            </w:r>
            <w:r>
              <w:rPr>
                <w:rFonts w:ascii="仿宋_GB2312" w:eastAsia="仿宋_GB2312" w:hAnsi="仿宋" w:cs="仿宋" w:hint="eastAsia"/>
                <w:sz w:val="24"/>
                <w:szCs w:val="24"/>
              </w:rPr>
              <w:t>安全生产管理、科技创新管理、绿色施工管理等因素。对于项目履约、知名度考核等方面，鉴于认定困难，难以操作，现阶段暂不考虑。</w:t>
            </w:r>
          </w:p>
        </w:tc>
      </w:tr>
      <w:tr w:rsidR="00DE2F25">
        <w:trPr>
          <w:trHeight w:val="2967"/>
        </w:trPr>
        <w:tc>
          <w:tcPr>
            <w:tcW w:w="1277" w:type="dxa"/>
            <w:vMerge w:val="restart"/>
            <w:shd w:val="clear" w:color="auto" w:fill="FFFFFF" w:themeFill="background1"/>
            <w:vAlign w:val="center"/>
          </w:tcPr>
          <w:p w:rsidR="00DE2F25" w:rsidRDefault="002362FA">
            <w:pPr>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lastRenderedPageBreak/>
              <w:t>5</w:t>
            </w:r>
          </w:p>
        </w:tc>
        <w:tc>
          <w:tcPr>
            <w:tcW w:w="2268" w:type="dxa"/>
            <w:vMerge w:val="restart"/>
            <w:shd w:val="clear" w:color="auto" w:fill="FFFFFF" w:themeFill="background1"/>
            <w:vAlign w:val="center"/>
          </w:tcPr>
          <w:p w:rsidR="00DE2F25" w:rsidRDefault="002362FA">
            <w:pPr>
              <w:widowControl/>
              <w:jc w:val="center"/>
              <w:rPr>
                <w:rFonts w:ascii="Times New Roman" w:eastAsia="黑体" w:hAnsi="Times New Roman" w:cs="Times New Roman"/>
                <w:sz w:val="31"/>
                <w:szCs w:val="31"/>
              </w:rPr>
            </w:pPr>
            <w:r>
              <w:rPr>
                <w:rFonts w:ascii="Times New Roman" w:eastAsia="黑体" w:hAnsi="Times New Roman" w:cs="Times New Roman" w:hint="eastAsia"/>
                <w:sz w:val="31"/>
                <w:szCs w:val="31"/>
              </w:rPr>
              <w:t>中国建筑第四工程局有限公司</w:t>
            </w:r>
          </w:p>
        </w:tc>
        <w:tc>
          <w:tcPr>
            <w:tcW w:w="6492" w:type="dxa"/>
            <w:shd w:val="clear" w:color="auto" w:fill="FFFFFF" w:themeFill="background1"/>
            <w:vAlign w:val="center"/>
          </w:tcPr>
          <w:p w:rsidR="00DE2F25" w:rsidRDefault="002362FA" w:rsidP="002362FA">
            <w:pPr>
              <w:widowControl/>
              <w:jc w:val="left"/>
              <w:rPr>
                <w:rFonts w:ascii="仿宋_GB2312" w:eastAsia="仿宋_GB2312" w:hAnsi="仿宋" w:cs="仿宋"/>
                <w:sz w:val="24"/>
                <w:szCs w:val="24"/>
              </w:rPr>
            </w:pPr>
            <w:r w:rsidRPr="002362FA">
              <w:rPr>
                <w:rFonts w:ascii="Times New Roman" w:eastAsia="仿宋_GB2312" w:hAnsi="Times New Roman" w:cs="Times New Roman"/>
                <w:sz w:val="24"/>
                <w:szCs w:val="24"/>
              </w:rPr>
              <w:t>1</w:t>
            </w:r>
            <w:r>
              <w:rPr>
                <w:rFonts w:ascii="仿宋_GB2312" w:eastAsia="仿宋_GB2312" w:hAnsi="仿宋" w:cs="仿宋"/>
                <w:sz w:val="24"/>
                <w:szCs w:val="24"/>
              </w:rPr>
              <w:t xml:space="preserve">. </w:t>
            </w:r>
            <w:r>
              <w:rPr>
                <w:rFonts w:ascii="仿宋_GB2312" w:eastAsia="仿宋_GB2312" w:hAnsi="仿宋" w:cs="仿宋" w:hint="eastAsia"/>
                <w:sz w:val="24"/>
                <w:szCs w:val="24"/>
              </w:rPr>
              <w:t>第六条修改建议：（二）曾获评“全国优秀项目经理”称号（评定机构包括中国建筑业协会、中国施工企业管理协会），或担任工程施工项目经理建设的项目，获中国建筑工程鲁班奖、中国土木工程詹天佑奖、国家优质工程奖、工程总承包金钥匙奖、全国市政金杯示范工程、中国建筑工程钢结构金奖、国家级建设工程项目施工安全生产标准化工地等奖项之一，或同时获得广东省建设工程优质奖和广东省房屋市政工程安全生产文明施工示范工地的。</w:t>
            </w:r>
          </w:p>
        </w:tc>
        <w:tc>
          <w:tcPr>
            <w:tcW w:w="4706" w:type="dxa"/>
            <w:shd w:val="clear" w:color="auto" w:fill="FFFFFF" w:themeFill="background1"/>
            <w:vAlign w:val="center"/>
          </w:tcPr>
          <w:p w:rsidR="00DE2F25" w:rsidRDefault="002362FA">
            <w:pPr>
              <w:widowControl/>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部分采纳。</w:t>
            </w:r>
            <w:proofErr w:type="gramStart"/>
            <w:r>
              <w:rPr>
                <w:rFonts w:ascii="仿宋_GB2312" w:eastAsia="仿宋_GB2312" w:hAnsi="Times New Roman" w:cs="Times New Roman" w:hint="eastAsia"/>
                <w:sz w:val="24"/>
                <w:szCs w:val="24"/>
              </w:rPr>
              <w:t>已适当</w:t>
            </w:r>
            <w:proofErr w:type="gramEnd"/>
            <w:r>
              <w:rPr>
                <w:rFonts w:ascii="仿宋_GB2312" w:eastAsia="仿宋_GB2312" w:hAnsi="Times New Roman" w:cs="Times New Roman" w:hint="eastAsia"/>
                <w:sz w:val="24"/>
                <w:szCs w:val="24"/>
              </w:rPr>
              <w:t>将评选范围扩大至水乡功能区范围内同时获得广东省建设工程优质奖和广东省房屋市政工程安全生产文明施工示范工地的项目经理。</w:t>
            </w:r>
          </w:p>
        </w:tc>
      </w:tr>
      <w:tr w:rsidR="00DE2F25">
        <w:trPr>
          <w:trHeight w:val="1872"/>
        </w:trPr>
        <w:tc>
          <w:tcPr>
            <w:tcW w:w="1277" w:type="dxa"/>
            <w:vMerge/>
            <w:shd w:val="clear" w:color="auto" w:fill="FFFFFF" w:themeFill="background1"/>
            <w:vAlign w:val="center"/>
          </w:tcPr>
          <w:p w:rsidR="00DE2F25" w:rsidRDefault="00DE2F25">
            <w:pPr>
              <w:jc w:val="center"/>
              <w:rPr>
                <w:rFonts w:ascii="Times New Roman" w:eastAsia="楷体_GB2312" w:hAnsi="Times New Roman" w:cs="Times New Roman"/>
                <w:sz w:val="24"/>
                <w:szCs w:val="24"/>
              </w:rPr>
            </w:pPr>
          </w:p>
        </w:tc>
        <w:tc>
          <w:tcPr>
            <w:tcW w:w="2268" w:type="dxa"/>
            <w:vMerge/>
            <w:shd w:val="clear" w:color="auto" w:fill="FFFFFF" w:themeFill="background1"/>
            <w:vAlign w:val="center"/>
          </w:tcPr>
          <w:p w:rsidR="00DE2F25" w:rsidRDefault="00DE2F25">
            <w:pPr>
              <w:widowControl/>
              <w:jc w:val="center"/>
              <w:rPr>
                <w:rFonts w:ascii="Times New Roman" w:eastAsia="黑体" w:hAnsi="Times New Roman" w:cs="Times New Roman"/>
                <w:sz w:val="32"/>
                <w:szCs w:val="32"/>
              </w:rPr>
            </w:pPr>
          </w:p>
        </w:tc>
        <w:tc>
          <w:tcPr>
            <w:tcW w:w="6492" w:type="dxa"/>
            <w:shd w:val="clear" w:color="auto" w:fill="FFFFFF" w:themeFill="background1"/>
            <w:vAlign w:val="center"/>
          </w:tcPr>
          <w:p w:rsidR="00DE2F25" w:rsidRDefault="002362FA" w:rsidP="002362FA">
            <w:pPr>
              <w:widowControl/>
              <w:jc w:val="left"/>
              <w:rPr>
                <w:rFonts w:ascii="仿宋_GB2312" w:eastAsia="仿宋_GB2312" w:hAnsi="仿宋" w:cs="仿宋"/>
                <w:sz w:val="24"/>
                <w:szCs w:val="24"/>
              </w:rPr>
            </w:pPr>
            <w:r w:rsidRPr="002362FA">
              <w:rPr>
                <w:rFonts w:ascii="Times New Roman" w:eastAsia="仿宋_GB2312" w:hAnsi="Times New Roman" w:cs="Times New Roman"/>
                <w:sz w:val="24"/>
                <w:szCs w:val="24"/>
              </w:rPr>
              <w:t>2</w:t>
            </w:r>
            <w:r>
              <w:rPr>
                <w:rFonts w:ascii="仿宋_GB2312" w:eastAsia="仿宋_GB2312" w:hAnsi="仿宋" w:cs="仿宋" w:hint="eastAsia"/>
                <w:sz w:val="24"/>
                <w:szCs w:val="24"/>
              </w:rPr>
              <w:t>.</w:t>
            </w:r>
            <w:r>
              <w:rPr>
                <w:rFonts w:ascii="仿宋_GB2312" w:eastAsia="仿宋_GB2312" w:hAnsi="仿宋" w:cs="仿宋"/>
                <w:sz w:val="24"/>
                <w:szCs w:val="24"/>
              </w:rPr>
              <w:t xml:space="preserve"> </w:t>
            </w:r>
            <w:r>
              <w:rPr>
                <w:rFonts w:ascii="仿宋_GB2312" w:eastAsia="仿宋_GB2312" w:hAnsi="仿宋" w:cs="仿宋" w:hint="eastAsia"/>
                <w:sz w:val="24"/>
                <w:szCs w:val="24"/>
              </w:rPr>
              <w:t>第六条修改建议：（五）认可后连续3年不担任水乡管委会工程施工项目经理的。</w:t>
            </w:r>
          </w:p>
        </w:tc>
        <w:tc>
          <w:tcPr>
            <w:tcW w:w="4706" w:type="dxa"/>
            <w:shd w:val="clear" w:color="auto" w:fill="FFFFFF" w:themeFill="background1"/>
            <w:vAlign w:val="center"/>
          </w:tcPr>
          <w:p w:rsidR="00DE2F25" w:rsidRDefault="002362FA">
            <w:pPr>
              <w:widowControl/>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不采纳。本办法旨在引入优秀项目经理参与水乡建设，修改为</w:t>
            </w:r>
            <w:r>
              <w:rPr>
                <w:rFonts w:ascii="仿宋_GB2312" w:eastAsia="仿宋_GB2312" w:hAnsi="仿宋" w:cs="仿宋" w:hint="eastAsia"/>
                <w:sz w:val="24"/>
                <w:szCs w:val="24"/>
              </w:rPr>
              <w:t>认可后连续3年不担任水乡管委会工程施工项目经理才取消认可资格，期限偏长，不利于尽快引入。</w:t>
            </w:r>
          </w:p>
        </w:tc>
      </w:tr>
    </w:tbl>
    <w:p w:rsidR="00DE2F25" w:rsidRDefault="00DE2F25">
      <w:pPr>
        <w:widowControl/>
        <w:jc w:val="left"/>
        <w:rPr>
          <w:rFonts w:ascii="仿宋_GB2312" w:eastAsia="仿宋_GB2312" w:hAnsi="仿宋" w:cs="仿宋"/>
          <w:sz w:val="24"/>
          <w:szCs w:val="24"/>
        </w:rPr>
      </w:pPr>
    </w:p>
    <w:p w:rsidR="00DE2F25" w:rsidRDefault="002362FA" w:rsidP="002362FA">
      <w:pPr>
        <w:widowControl/>
        <w:ind w:left="1080" w:hangingChars="450" w:hanging="1080"/>
        <w:jc w:val="left"/>
        <w:rPr>
          <w:rFonts w:ascii="仿宋_GB2312" w:eastAsia="仿宋_GB2312" w:hAnsi="仿宋" w:cs="仿宋"/>
          <w:sz w:val="24"/>
          <w:szCs w:val="24"/>
        </w:rPr>
      </w:pPr>
      <w:r>
        <w:rPr>
          <w:rFonts w:ascii="仿宋_GB2312" w:eastAsia="仿宋_GB2312" w:hAnsi="仿宋" w:cs="仿宋" w:hint="eastAsia"/>
          <w:sz w:val="24"/>
          <w:szCs w:val="24"/>
        </w:rPr>
        <w:t>备注：</w:t>
      </w:r>
      <w:r w:rsidRPr="002362FA">
        <w:rPr>
          <w:rFonts w:ascii="Times New Roman" w:eastAsia="仿宋_GB2312" w:hAnsi="Times New Roman" w:cs="Times New Roman"/>
          <w:sz w:val="24"/>
          <w:szCs w:val="24"/>
        </w:rPr>
        <w:t>1</w:t>
      </w:r>
      <w:r>
        <w:rPr>
          <w:rFonts w:ascii="仿宋_GB2312" w:eastAsia="仿宋_GB2312" w:hAnsi="仿宋" w:cs="仿宋" w:hint="eastAsia"/>
          <w:sz w:val="24"/>
          <w:szCs w:val="24"/>
        </w:rPr>
        <w:t>.</w:t>
      </w:r>
      <w:r>
        <w:rPr>
          <w:rFonts w:ascii="仿宋_GB2312" w:eastAsia="仿宋_GB2312" w:hAnsi="仿宋" w:cs="仿宋"/>
          <w:sz w:val="24"/>
          <w:szCs w:val="24"/>
        </w:rPr>
        <w:t xml:space="preserve"> </w:t>
      </w:r>
      <w:r>
        <w:rPr>
          <w:rFonts w:ascii="仿宋_GB2312" w:eastAsia="仿宋_GB2312" w:hAnsi="仿宋" w:cs="仿宋" w:hint="eastAsia"/>
          <w:sz w:val="24"/>
          <w:szCs w:val="24"/>
        </w:rPr>
        <w:t>市交通运输局、水乡管委会自然资源局、水乡管委会城市更新局、水乡管委会行政服务局、水乡财政分局、水乡经济区工程建设中心、中铁大桥</w:t>
      </w:r>
      <w:proofErr w:type="gramStart"/>
      <w:r>
        <w:rPr>
          <w:rFonts w:ascii="仿宋_GB2312" w:eastAsia="仿宋_GB2312" w:hAnsi="仿宋" w:cs="仿宋" w:hint="eastAsia"/>
          <w:sz w:val="24"/>
          <w:szCs w:val="24"/>
        </w:rPr>
        <w:t>局集团</w:t>
      </w:r>
      <w:proofErr w:type="gramEnd"/>
      <w:r>
        <w:rPr>
          <w:rFonts w:ascii="仿宋_GB2312" w:eastAsia="仿宋_GB2312" w:hAnsi="仿宋" w:cs="仿宋" w:hint="eastAsia"/>
          <w:sz w:val="24"/>
          <w:szCs w:val="24"/>
        </w:rPr>
        <w:t>有限公司、中国建筑第五工程局有限公司、中建三局第二建设工程有限责任公司均无不同意见。</w:t>
      </w:r>
    </w:p>
    <w:p w:rsidR="00DE2F25" w:rsidRPr="002362FA" w:rsidRDefault="002362FA" w:rsidP="002362FA">
      <w:pPr>
        <w:widowControl/>
        <w:ind w:leftChars="300" w:left="990" w:hangingChars="150" w:hanging="360"/>
        <w:jc w:val="left"/>
        <w:rPr>
          <w:rFonts w:ascii="仿宋_GB2312" w:eastAsia="仿宋_GB2312" w:hAnsi="仿宋" w:cs="仿宋"/>
          <w:sz w:val="24"/>
          <w:szCs w:val="24"/>
        </w:rPr>
      </w:pPr>
      <w:r w:rsidRPr="002362FA">
        <w:rPr>
          <w:rFonts w:ascii="Times New Roman" w:eastAsia="仿宋_GB2312" w:hAnsi="Times New Roman" w:cs="Times New Roman"/>
          <w:sz w:val="24"/>
          <w:szCs w:val="24"/>
        </w:rPr>
        <w:t>2</w:t>
      </w:r>
      <w:r>
        <w:rPr>
          <w:rFonts w:ascii="仿宋_GB2312" w:eastAsia="仿宋_GB2312" w:hAnsi="仿宋" w:cs="仿宋" w:hint="eastAsia"/>
          <w:sz w:val="24"/>
          <w:szCs w:val="24"/>
        </w:rPr>
        <w:t>.</w:t>
      </w:r>
      <w:r>
        <w:rPr>
          <w:rFonts w:ascii="仿宋_GB2312" w:eastAsia="仿宋_GB2312" w:hAnsi="仿宋" w:cs="仿宋"/>
          <w:sz w:val="24"/>
          <w:szCs w:val="24"/>
        </w:rPr>
        <w:t xml:space="preserve"> </w:t>
      </w:r>
      <w:r>
        <w:rPr>
          <w:rFonts w:ascii="仿宋_GB2312" w:eastAsia="仿宋_GB2312" w:hAnsi="仿宋" w:cs="仿宋" w:hint="eastAsia"/>
          <w:sz w:val="24"/>
          <w:szCs w:val="24"/>
        </w:rPr>
        <w:t>中建三局第一建设工程有限责任公司、中国建筑第八工程局有限公司、太平洋建设集团有限公司、中国水利水电第七工程局有限公司、中国中铁建工集团有限公司、中铁南方投资集团有限公司、中建铁路投资建设集团有限公司、中铁十五局集团有限公司、中国葛洲坝集团股份有限公司、广东鸿高建设集团有限公司、湖南星大建设集团有限公司、深圳市广胜达建筑工程有限公司、东莞市建安集团有限公司、广东华坤建设集团有限公司、东莞市福诚建设工程有限公司逾期未回复意见。</w:t>
      </w:r>
    </w:p>
    <w:sectPr w:rsidR="00DE2F25" w:rsidRPr="002362FA" w:rsidSect="002A162F">
      <w:pgSz w:w="16838" w:h="11906" w:orient="landscape"/>
      <w:pgMar w:top="993"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0DF5F"/>
    <w:multiLevelType w:val="singleLevel"/>
    <w:tmpl w:val="21E0DF5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FD"/>
    <w:rsid w:val="00004C21"/>
    <w:rsid w:val="000135DB"/>
    <w:rsid w:val="002362FA"/>
    <w:rsid w:val="00284CB3"/>
    <w:rsid w:val="002A162F"/>
    <w:rsid w:val="00342B94"/>
    <w:rsid w:val="00364B63"/>
    <w:rsid w:val="003812E2"/>
    <w:rsid w:val="004C1BFD"/>
    <w:rsid w:val="004D3552"/>
    <w:rsid w:val="00671478"/>
    <w:rsid w:val="00686F97"/>
    <w:rsid w:val="00850CD0"/>
    <w:rsid w:val="00884AAB"/>
    <w:rsid w:val="009549FC"/>
    <w:rsid w:val="00AA1BA0"/>
    <w:rsid w:val="00B05D5A"/>
    <w:rsid w:val="00BC2143"/>
    <w:rsid w:val="00C43629"/>
    <w:rsid w:val="00C9357A"/>
    <w:rsid w:val="00CD6646"/>
    <w:rsid w:val="00DE2F25"/>
    <w:rsid w:val="00E53E5D"/>
    <w:rsid w:val="00F12560"/>
    <w:rsid w:val="00F85C06"/>
    <w:rsid w:val="1349218B"/>
    <w:rsid w:val="15650F4B"/>
    <w:rsid w:val="17C82B6D"/>
    <w:rsid w:val="19FF283E"/>
    <w:rsid w:val="1F9715B2"/>
    <w:rsid w:val="21CE23A3"/>
    <w:rsid w:val="22C463CF"/>
    <w:rsid w:val="292F1525"/>
    <w:rsid w:val="2FC900D7"/>
    <w:rsid w:val="2FFD4B05"/>
    <w:rsid w:val="33916A16"/>
    <w:rsid w:val="34843F08"/>
    <w:rsid w:val="3EAE1EE3"/>
    <w:rsid w:val="43EB170D"/>
    <w:rsid w:val="460C2C5E"/>
    <w:rsid w:val="46DF70AD"/>
    <w:rsid w:val="4A8A543A"/>
    <w:rsid w:val="4EB95283"/>
    <w:rsid w:val="5C5E3ADE"/>
    <w:rsid w:val="62D66644"/>
    <w:rsid w:val="62FE103C"/>
    <w:rsid w:val="73D92421"/>
    <w:rsid w:val="77E04DFA"/>
    <w:rsid w:val="78D05378"/>
    <w:rsid w:val="7E7D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8EB281-B720-4DA1-9931-DE207684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Pr>
      <w:i/>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叶焕霞</cp:lastModifiedBy>
  <cp:revision>8</cp:revision>
  <dcterms:created xsi:type="dcterms:W3CDTF">2021-03-02T10:27:00Z</dcterms:created>
  <dcterms:modified xsi:type="dcterms:W3CDTF">2021-03-17T09:33:00Z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