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东莞数字经济产业基地（洪梅河西</w:t>
      </w:r>
      <w:r>
        <w:rPr>
          <w:rFonts w:ascii="Times New Roman" w:hAnsi="Times New Roman" w:eastAsia="方正小标宋简体" w:cs="方正小标宋简体"/>
          <w:sz w:val="44"/>
          <w:szCs w:val="44"/>
        </w:rPr>
        <w:t>片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区</w:t>
      </w:r>
      <w:r>
        <w:rPr>
          <w:rFonts w:ascii="Times New Roman" w:hAnsi="Times New Roman" w:eastAsia="方正小标宋简体" w:cs="方正小标宋简体"/>
          <w:sz w:val="44"/>
          <w:szCs w:val="44"/>
        </w:rPr>
        <w:t>单元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）开发建设管理办法</w:t>
      </w: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试行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</w:p>
    <w:p>
      <w:pPr>
        <w:spacing w:line="600" w:lineRule="exact"/>
        <w:jc w:val="both"/>
        <w:rPr>
          <w:rFonts w:ascii="Times New Roman" w:hAnsi="Times New Roman" w:eastAsia="方正小标宋简体" w:cs="方正小标宋简体"/>
          <w:sz w:val="20"/>
          <w:szCs w:val="20"/>
        </w:rPr>
      </w:pPr>
    </w:p>
    <w:p>
      <w:pPr>
        <w:numPr>
          <w:ilvl w:val="0"/>
          <w:numId w:val="1"/>
        </w:numPr>
        <w:spacing w:line="600" w:lineRule="exact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总则</w:t>
      </w:r>
    </w:p>
    <w:p>
      <w:pPr>
        <w:spacing w:line="600" w:lineRule="exact"/>
        <w:jc w:val="both"/>
        <w:rPr>
          <w:rFonts w:ascii="Times New Roman" w:hAnsi="Times New Roman" w:eastAsia="仿宋_GB2312" w:cs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第一条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为推动东莞数字经济产业基地（洪梅河西</w:t>
      </w:r>
      <w:r>
        <w:rPr>
          <w:rFonts w:ascii="Times New Roman" w:hAnsi="Times New Roman" w:eastAsia="仿宋_GB2312" w:cs="仿宋_GB2312"/>
          <w:sz w:val="32"/>
          <w:szCs w:val="32"/>
        </w:rPr>
        <w:t>片区单元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）连片开发建设，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水乡功能区连片“工改工”基层改革创新实验区试点项目试点先行，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打造政府主导、产城融合的连片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集中改造</w:t>
      </w:r>
      <w:r>
        <w:rPr>
          <w:rFonts w:hint="eastAsia" w:ascii="Times New Roman" w:hAnsi="Times New Roman" w:eastAsia="仿宋_GB2312" w:cs="仿宋_GB2312"/>
          <w:sz w:val="32"/>
          <w:szCs w:val="32"/>
        </w:rPr>
        <w:t>示范区，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根据《东莞市推进战略性新兴产业基地高质量发展若干措施》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（东府办〔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20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〕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22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号）、《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水乡功能区建设市连片“工改工”基层改革创新实验区实施方案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》（东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水乡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〔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20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〕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69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号）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等相关文件精神，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结合实际，制定本办法。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本办法适用于东莞数字经济产业基地（洪梅河西</w:t>
      </w:r>
      <w:r>
        <w:rPr>
          <w:rFonts w:ascii="Times New Roman" w:hAnsi="Times New Roman" w:eastAsia="仿宋_GB2312" w:cs="仿宋_GB2312"/>
          <w:sz w:val="32"/>
          <w:szCs w:val="32"/>
        </w:rPr>
        <w:t>片区单元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，以下简称“片区”）范围内的城市更新、土地收储、开发建设、招商引资、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运营</w:t>
      </w:r>
      <w:r>
        <w:rPr>
          <w:rFonts w:hint="eastAsia" w:ascii="Times New Roman" w:hAnsi="Times New Roman" w:eastAsia="仿宋_GB2312" w:cs="仿宋_GB2312"/>
          <w:sz w:val="32"/>
          <w:szCs w:val="32"/>
        </w:rPr>
        <w:t>管理等各项工作。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</w:t>
      </w:r>
      <w:r>
        <w:rPr>
          <w:rFonts w:ascii="Times New Roman" w:hAnsi="Times New Roman" w:eastAsia="仿宋_GB2312" w:cs="仿宋_GB2312"/>
          <w:b/>
          <w:bCs/>
          <w:sz w:val="32"/>
          <w:szCs w:val="32"/>
        </w:rPr>
        <w:t>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以高质量发展为核心目标，按照“政府主导、统筹管理、严格准入、加强监管”的工作原则，实施项目全流程管理。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第二章  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sz w:val="32"/>
          <w:szCs w:val="32"/>
        </w:rPr>
        <w:t>改造模式</w:t>
      </w:r>
    </w:p>
    <w:p>
      <w:pPr>
        <w:spacing w:line="600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</w:t>
      </w:r>
      <w:r>
        <w:rPr>
          <w:rFonts w:ascii="Times New Roman" w:hAnsi="Times New Roman" w:eastAsia="仿宋_GB2312" w:cs="仿宋_GB2312"/>
          <w:b/>
          <w:bCs/>
          <w:sz w:val="32"/>
          <w:szCs w:val="32"/>
        </w:rPr>
        <w:t>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片区坚持连片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集中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改造，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工业保护线内项目由政府统筹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采用政府主导和单一主体挂牌招商模式实施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不再审批权利人自改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numPr>
          <w:ilvl w:val="255"/>
          <w:numId w:val="0"/>
        </w:num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</w:t>
      </w:r>
      <w:r>
        <w:rPr>
          <w:rFonts w:ascii="Times New Roman" w:hAnsi="Times New Roman" w:eastAsia="仿宋_GB2312" w:cs="仿宋_GB2312"/>
          <w:b/>
          <w:bCs/>
          <w:sz w:val="32"/>
          <w:szCs w:val="32"/>
        </w:rPr>
        <w:t>五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片区采用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政府主导和单一主体挂牌招商模式的“工改工”项目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新增用地的产业项目，应满足投资强度不低于800万元/亩，投产后年均财政贡献不低于</w:t>
      </w:r>
      <w:r>
        <w:rPr>
          <w:rFonts w:ascii="Times New Roman" w:hAnsi="Times New Roman" w:eastAsia="仿宋_GB2312" w:cs="仿宋_GB2312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0万元/亩。</w:t>
      </w:r>
      <w:r>
        <w:rPr>
          <w:rFonts w:ascii="Times New Roman" w:hAnsi="Times New Roman" w:eastAsia="仿宋_GB2312" w:cs="仿宋_GB2312"/>
          <w:sz w:val="32"/>
          <w:szCs w:val="32"/>
        </w:rPr>
        <w:t>土地出让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时开发主体需与政府签订监管协议。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片区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产业项目开发主体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为产业链中的龙头企业、重要产业节点企业、上市（或上市后备）企业、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行业独角兽企业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，可“一事一议”审定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投资强度、财政贡献标准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本办法印发</w:t>
      </w:r>
      <w:r>
        <w:rPr>
          <w:rFonts w:hint="eastAsia" w:ascii="Times New Roman" w:hAnsi="Times New Roman" w:eastAsia="仿宋_GB2312" w:cs="仿宋_GB2312"/>
          <w:sz w:val="32"/>
          <w:szCs w:val="32"/>
        </w:rPr>
        <w:t>前已批改造项目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经“一事一议”通过后可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继续实施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遵循本办法规划设计、产业发展各项规定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进行报审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。</w:t>
      </w:r>
      <w:bookmarkStart w:id="0" w:name="_GoBack"/>
      <w:bookmarkEnd w:id="0"/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b/>
          <w:bCs/>
          <w:color w:val="0000FF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第三章  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sz w:val="32"/>
          <w:szCs w:val="32"/>
        </w:rPr>
        <w:t>规划设计</w:t>
      </w:r>
    </w:p>
    <w:p>
      <w:pPr>
        <w:spacing w:line="600" w:lineRule="exact"/>
        <w:jc w:val="both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实施规划建筑设计管控。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编制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《洪梅镇河西片区统筹规划与城市设计方案》《洪梅镇河西片区统筹开发与建筑设计方案》，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规范并指导片区内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项目规划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建筑设计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实施片区总设计师工作制度。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组织聘请</w:t>
      </w:r>
      <w:r>
        <w:rPr>
          <w:rFonts w:ascii="Times New Roman" w:hAnsi="Times New Roman" w:eastAsia="仿宋_GB2312" w:cs="仿宋_GB2312"/>
          <w:sz w:val="32"/>
          <w:szCs w:val="32"/>
        </w:rPr>
        <w:t>片区总设计师团队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从设计到实施的全过程把关。片区内项目建筑设计方案需经总设计师团队对建筑风貌、功能布局、建设指标等进行审核并出具意见后方可进行报审</w:t>
      </w:r>
      <w:r>
        <w:rPr>
          <w:rFonts w:ascii="Times New Roman" w:hAnsi="Times New Roman" w:eastAsia="仿宋_GB2312" w:cs="仿宋_GB2312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试行带设计方案出让。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/>
          <w:shd w:val="clear"/>
          <w:lang w:val="en-US" w:eastAsia="zh-CN" w:bidi="th-TH"/>
        </w:rPr>
        <w:t>政府主导的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/>
          <w:shd w:val="clear"/>
          <w:lang w:val="zh-CN" w:eastAsia="zh-CN" w:bidi="th-TH"/>
        </w:rPr>
        <w:t>“工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/>
          <w:shd w:val="clear"/>
          <w:lang w:val="en-US" w:eastAsia="zh-CN" w:bidi="th-TH"/>
        </w:rPr>
        <w:t>改工”项目，由政府组织编制建设工程设计方案（初步设计深度或以上），作为土地出让使用条件之一，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th-TH"/>
        </w:rPr>
        <w:t>土地出让后，原则上不予变更，确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/>
          <w:shd w:val="clear"/>
          <w:lang w:val="en-US" w:eastAsia="zh-CN" w:bidi="th-TH"/>
        </w:rPr>
        <w:t>需调整方案的，应取得水乡管委会、洪梅镇政府同意变更的批复，并不应涉及规划条件的变更。</w:t>
      </w:r>
    </w:p>
    <w:p>
      <w:pPr>
        <w:widowControl/>
        <w:spacing w:line="600" w:lineRule="exact"/>
        <w:jc w:val="both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第四章  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sz w:val="32"/>
          <w:szCs w:val="32"/>
        </w:rPr>
        <w:t>产业发展</w:t>
      </w:r>
    </w:p>
    <w:p>
      <w:pPr>
        <w:spacing w:line="600" w:lineRule="exact"/>
        <w:jc w:val="both"/>
        <w:rPr>
          <w:rFonts w:ascii="Times New Roman" w:hAnsi="Times New Roman" w:eastAsia="仿宋_GB2312" w:cs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加强企业入驻管理。企业入驻需符合《产业结构调整指导目录（2019年本）》《东莞市重点新兴产业发展规划（2018-2025年）》及东莞数字经济产业基地产业招商重点方向及目录，重点引进数字经济类产业。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片区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产业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部门依据</w:t>
      </w:r>
      <w:r>
        <w:rPr>
          <w:rFonts w:ascii="Times New Roman" w:hAnsi="Times New Roman" w:eastAsia="仿宋_GB2312" w:cs="仿宋_GB2312"/>
          <w:sz w:val="32"/>
          <w:szCs w:val="32"/>
        </w:rPr>
        <w:t>相关产业规划及政策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对入驻企业在产业类型、环保能耗、技术水平、产业带动、产出效益、风险分析等方面进行综合评估。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实施产业扶持。制定东莞数字经济产业基地（洪梅河西</w:t>
      </w:r>
      <w:r>
        <w:rPr>
          <w:rFonts w:ascii="Times New Roman" w:hAnsi="Times New Roman" w:eastAsia="仿宋_GB2312" w:cs="仿宋_GB2312"/>
          <w:sz w:val="32"/>
          <w:szCs w:val="32"/>
        </w:rPr>
        <w:t>片区单元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）产业扶持措施，建立产业发展扶持资金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/>
          <w:shd w:val="clear"/>
          <w:lang w:val="en-US" w:eastAsia="zh-CN" w:bidi="th-TH"/>
        </w:rPr>
        <w:t>支持产业用房先租后让，建立财政贡献挂钩奖补机制，降低企业入驻成本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/>
          <w:shd w:val="clear"/>
          <w:lang w:val="en-US" w:eastAsia="zh-CN" w:bidi="th-TH"/>
        </w:rPr>
        <w:t>加强产业用房分割转让管理。对片区内可分割产业项目，依据省、市相关分割转让政策，制定产业用房转让管理细则，探索财政贡献达标转让、低效项目国企回购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条 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加强产业用房租赁管理。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片区内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产业用房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实施租赁登记备案制，企业出租、转租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续租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产业用房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须经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片区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产业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部门审核备案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仿宋_GB2312"/>
          <w:kern w:val="0"/>
          <w:sz w:val="32"/>
          <w:szCs w:val="32"/>
          <w:u w:val="none"/>
          <w:shd w:val="clear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/>
          <w:shd w:val="clear"/>
          <w:lang w:val="en-US" w:eastAsia="zh-CN" w:bidi="th-TH"/>
        </w:rPr>
        <w:t>加强土地二次转让管理。片区内产业用地二次转让需满足市镇各级相关政策，受让方需与政府签订二次转让监管协议，未经片区产业管理部门审核同意，不予办理用地转让审批手续。片区内通过司法拍卖或抵押权实现取得产业用地的，按本条实施。</w:t>
      </w:r>
    </w:p>
    <w:p>
      <w:pPr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仿宋_GB2312"/>
          <w:kern w:val="0"/>
          <w:sz w:val="32"/>
          <w:szCs w:val="32"/>
          <w:u w:val="none"/>
          <w:shd w:val="clear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u w:val="none"/>
          <w:shd w:val="clear"/>
          <w:lang w:val="en-US" w:eastAsia="zh-CN" w:bidi="th-TH"/>
        </w:rPr>
        <w:t>第十六条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/>
          <w:shd w:val="clear"/>
          <w:lang w:val="en-US" w:eastAsia="zh-CN" w:bidi="th-TH"/>
        </w:rPr>
        <w:t xml:space="preserve">  片区内通过股权转让转让产业用地的项目，需与政府签订监管协议，未经片区产业管理部门审核同意，不予办理相关审批手续。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实施企业分级评价。定期对片区内企业进行分等定级评价，采取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针对性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扶持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与监管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措施，推动资源要素向高端高质企业集聚。</w:t>
      </w:r>
    </w:p>
    <w:p>
      <w:pPr>
        <w:spacing w:line="600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第五章  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sz w:val="32"/>
          <w:szCs w:val="32"/>
        </w:rPr>
        <w:t>实施保障</w:t>
      </w:r>
    </w:p>
    <w:p>
      <w:pPr>
        <w:numPr>
          <w:ilvl w:val="255"/>
          <w:numId w:val="0"/>
        </w:numPr>
        <w:spacing w:line="600" w:lineRule="exact"/>
        <w:jc w:val="both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3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十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仿宋_GB2312" w:cs="仿宋_GB2312"/>
          <w:b/>
          <w:bCs/>
          <w:sz w:val="32"/>
          <w:szCs w:val="32"/>
        </w:rPr>
        <w:t xml:space="preserve">条 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强化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统筹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联动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ascii="Times New Roman" w:hAnsi="Times New Roman" w:eastAsia="仿宋_GB2312" w:cs="仿宋_GB2312"/>
          <w:sz w:val="32"/>
          <w:szCs w:val="32"/>
        </w:rPr>
        <w:t>水乡管委会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负责主导片区开发建设，落实资金保障，统筹规划、招商、基础设施建设等工作，</w:t>
      </w:r>
      <w:r>
        <w:rPr>
          <w:rFonts w:ascii="Times New Roman" w:hAnsi="Times New Roman" w:eastAsia="仿宋_GB2312" w:cs="仿宋_GB2312"/>
          <w:sz w:val="32"/>
          <w:szCs w:val="32"/>
        </w:rPr>
        <w:t>洪梅镇负责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开展城市更新和土地整备工作。</w:t>
      </w:r>
      <w:r>
        <w:rPr>
          <w:rFonts w:ascii="Times New Roman" w:hAnsi="Times New Roman" w:eastAsia="仿宋_GB2312" w:cs="仿宋_GB2312"/>
          <w:sz w:val="32"/>
          <w:szCs w:val="32"/>
        </w:rPr>
        <w:t>洪梅河西单元开发统筹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总指挥部负责全面指导推进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片区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各项工作，协调解决重大问题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现场指挥部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负责具体落实片区内政策制定、拆迁谈判、规划设计、流程申报、开发建设、招商运营、资金保障等工作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水乡管委会、洪梅镇各部门强化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联动，处理涉及河西片区的事项时，应先征求现场指挥部意见。现场指挥部定期开展重点事项联席会议，跟进各项工作进展，研究解决重点问题。</w:t>
      </w:r>
    </w:p>
    <w:p>
      <w:pPr>
        <w:widowControl/>
        <w:numPr>
          <w:ilvl w:val="-1"/>
          <w:numId w:val="0"/>
        </w:numPr>
        <w:spacing w:line="240" w:lineRule="auto"/>
        <w:ind w:firstLine="643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十九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强化长效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监管。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落实监管主体责任，按照“谁审查，谁负责”的原则，各部门结合自身职能，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/>
          <w:shd w:val="clear"/>
          <w:lang w:val="en-US" w:eastAsia="zh-CN" w:bidi="th-TH"/>
        </w:rPr>
        <w:t>加强项目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规划、建设、招商、运营、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二次转让、股权转让、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产权分割销售、不动产权证办理等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none"/>
          <w:shd w:val="clear"/>
          <w:lang w:val="en-US" w:eastAsia="zh-CN" w:bidi="th-TH"/>
        </w:rPr>
        <w:t>全生命周期监管。落实执法责任，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相关部门定期组织开展片区执法行动，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强化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环境保护、安全生产等方面监管，对低效企业、落后产能进行倒逼清退，对违法违规行为严厉处罚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落实履约责任，对于已签订监管协议的主体，定期开展履约情况评估和监督管理，确保按照协议有效履约。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第六章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sz w:val="32"/>
          <w:szCs w:val="32"/>
        </w:rPr>
        <w:t xml:space="preserve">  附则</w:t>
      </w:r>
    </w:p>
    <w:p>
      <w:pPr>
        <w:spacing w:before="69" w:line="600" w:lineRule="exact"/>
        <w:ind w:firstLine="640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before="69" w:line="600" w:lineRule="exact"/>
        <w:ind w:firstLine="640" w:firstLineChars="200"/>
        <w:jc w:val="both"/>
        <w:rPr>
          <w:rFonts w:ascii="Times New Roman" w:hAnsi="Times New Roman"/>
          <w:sz w:val="28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本办法自印发之日起实施，有效期3年。未尽事宜，由水乡管委会、洪梅镇政府负责解释。</w:t>
      </w:r>
    </w:p>
    <w:sectPr>
      <w:pgSz w:w="11910" w:h="16840"/>
      <w:pgMar w:top="1814" w:right="1474" w:bottom="181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50A6"/>
    <w:multiLevelType w:val="singleLevel"/>
    <w:tmpl w:val="3D8150A6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DA"/>
    <w:rsid w:val="000D1875"/>
    <w:rsid w:val="00154805"/>
    <w:rsid w:val="003B2D03"/>
    <w:rsid w:val="005850DA"/>
    <w:rsid w:val="006A5564"/>
    <w:rsid w:val="00786D28"/>
    <w:rsid w:val="00945258"/>
    <w:rsid w:val="00E94053"/>
    <w:rsid w:val="00F42D53"/>
    <w:rsid w:val="00FF26DF"/>
    <w:rsid w:val="04C31610"/>
    <w:rsid w:val="0A5C5B0A"/>
    <w:rsid w:val="0DCB05ED"/>
    <w:rsid w:val="0EA201C6"/>
    <w:rsid w:val="0FEC08AF"/>
    <w:rsid w:val="11632505"/>
    <w:rsid w:val="11B25467"/>
    <w:rsid w:val="15FD4B41"/>
    <w:rsid w:val="19224D2C"/>
    <w:rsid w:val="1C8D1289"/>
    <w:rsid w:val="23852B8F"/>
    <w:rsid w:val="250B5115"/>
    <w:rsid w:val="26933B8F"/>
    <w:rsid w:val="27910385"/>
    <w:rsid w:val="2CD276FE"/>
    <w:rsid w:val="2E8F6071"/>
    <w:rsid w:val="309D21DC"/>
    <w:rsid w:val="31246D8B"/>
    <w:rsid w:val="32EB2795"/>
    <w:rsid w:val="39952DEB"/>
    <w:rsid w:val="39CB782C"/>
    <w:rsid w:val="3A8D2682"/>
    <w:rsid w:val="3ED852A8"/>
    <w:rsid w:val="3F582FC4"/>
    <w:rsid w:val="4286402D"/>
    <w:rsid w:val="43ED647A"/>
    <w:rsid w:val="443F5C9F"/>
    <w:rsid w:val="44463599"/>
    <w:rsid w:val="49CB6265"/>
    <w:rsid w:val="4ADF6F8E"/>
    <w:rsid w:val="4B2A56B5"/>
    <w:rsid w:val="4D4F5424"/>
    <w:rsid w:val="4DDB6BCD"/>
    <w:rsid w:val="4E165097"/>
    <w:rsid w:val="4FC26C97"/>
    <w:rsid w:val="4FF919F2"/>
    <w:rsid w:val="52C926C5"/>
    <w:rsid w:val="54CD66A2"/>
    <w:rsid w:val="56286920"/>
    <w:rsid w:val="57590E87"/>
    <w:rsid w:val="5D400E48"/>
    <w:rsid w:val="5F3B6611"/>
    <w:rsid w:val="605C2846"/>
    <w:rsid w:val="630005BE"/>
    <w:rsid w:val="64C078BC"/>
    <w:rsid w:val="65F00132"/>
    <w:rsid w:val="676D70BF"/>
    <w:rsid w:val="67A96EE9"/>
    <w:rsid w:val="6C746235"/>
    <w:rsid w:val="6CB9408A"/>
    <w:rsid w:val="6D7767C1"/>
    <w:rsid w:val="6EB27BD0"/>
    <w:rsid w:val="7273610B"/>
    <w:rsid w:val="745550DC"/>
    <w:rsid w:val="758362EA"/>
    <w:rsid w:val="76FD374D"/>
    <w:rsid w:val="77FC5A62"/>
    <w:rsid w:val="78AF6065"/>
    <w:rsid w:val="7C0201CB"/>
    <w:rsid w:val="7C486E5D"/>
    <w:rsid w:val="7D35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1"/>
    <w:pPr>
      <w:spacing w:line="1041" w:lineRule="exact"/>
      <w:ind w:left="109"/>
    </w:pPr>
    <w:rPr>
      <w:rFonts w:ascii="微软雅黑" w:hAnsi="微软雅黑" w:eastAsia="微软雅黑" w:cs="微软雅黑"/>
      <w:b/>
      <w:bCs/>
      <w:sz w:val="68"/>
      <w:szCs w:val="68"/>
    </w:rPr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90"/>
      <w:ind w:left="2289" w:right="1276" w:hanging="2290"/>
      <w:jc w:val="right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6"/>
    <w:qFormat/>
    <w:uiPriority w:val="0"/>
    <w:rPr>
      <w:rFonts w:ascii="宋体" w:hAnsi="宋体" w:eastAsia="宋体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宋体" w:hAnsi="宋体" w:eastAsia="宋体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355</Words>
  <Characters>2027</Characters>
  <Lines>16</Lines>
  <Paragraphs>4</Paragraphs>
  <TotalTime>36</TotalTime>
  <ScaleCrop>false</ScaleCrop>
  <LinksUpToDate>false</LinksUpToDate>
  <CharactersWithSpaces>2378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2021-10-23T09:12:00Z</dcterms:created>
  <dc:creator>szjsm</dc:creator>
  <cp:lastModifiedBy>WPS_1610788351</cp:lastModifiedBy>
  <cp:lastPrinted>2021-12-06T02:29:00Z</cp:lastPrinted>
  <dcterms:modified xsi:type="dcterms:W3CDTF">2021-12-10T04:55:22Z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2021-10-23T00:00:00Z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4EF14A77EE284844AB1A5CBDF533EB78</vt:lpwstr>
  </property>
</Properties>
</file>